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87C8" w14:textId="77777777" w:rsidR="00CA0144" w:rsidRDefault="00461E21">
      <w:pPr>
        <w:keepNext/>
        <w:jc w:val="left"/>
        <w:rPr>
          <w:rFonts w:ascii="Arial" w:eastAsia="Arial" w:hAnsi="Arial"/>
          <w:b/>
          <w:sz w:val="36"/>
          <w:szCs w:val="36"/>
        </w:rPr>
      </w:pPr>
      <w:bookmarkStart w:id="0" w:name="_heading=h.gjdgxs" w:colFirst="0" w:colLast="0"/>
      <w:bookmarkEnd w:id="0"/>
      <w:r>
        <w:rPr>
          <w:rFonts w:ascii="Arial" w:eastAsia="Arial" w:hAnsi="Arial"/>
          <w:b/>
          <w:sz w:val="36"/>
          <w:szCs w:val="36"/>
        </w:rPr>
        <w:t>Order Schedule 16 (Benchmarking)</w:t>
      </w:r>
    </w:p>
    <w:p w14:paraId="54E90D73" w14:textId="77777777" w:rsidR="00CA0144" w:rsidRDefault="00461E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0BB5D01E" w14:textId="77777777" w:rsidR="00CA0144" w:rsidRDefault="00461E2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CA0144" w14:paraId="1055F8BF" w14:textId="77777777">
        <w:tc>
          <w:tcPr>
            <w:tcW w:w="2900" w:type="dxa"/>
            <w:shd w:val="clear" w:color="auto" w:fill="auto"/>
          </w:tcPr>
          <w:p w14:paraId="58FDD27C"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"Benchmark Review"</w:t>
            </w:r>
          </w:p>
        </w:tc>
        <w:tc>
          <w:tcPr>
            <w:tcW w:w="5142" w:type="dxa"/>
            <w:shd w:val="clear" w:color="auto" w:fill="auto"/>
          </w:tcPr>
          <w:p w14:paraId="1C80B2BF"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CA0144" w14:paraId="662998C3" w14:textId="77777777">
        <w:tc>
          <w:tcPr>
            <w:tcW w:w="2900" w:type="dxa"/>
            <w:shd w:val="clear" w:color="auto" w:fill="auto"/>
          </w:tcPr>
          <w:p w14:paraId="4D346312"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"Benchmarked Deliverables"</w:t>
            </w:r>
          </w:p>
        </w:tc>
        <w:tc>
          <w:tcPr>
            <w:tcW w:w="5142" w:type="dxa"/>
            <w:shd w:val="clear" w:color="auto" w:fill="auto"/>
          </w:tcPr>
          <w:p w14:paraId="6DC97F68"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CA0144" w14:paraId="194E6B3A" w14:textId="77777777">
        <w:tc>
          <w:tcPr>
            <w:tcW w:w="2900" w:type="dxa"/>
            <w:shd w:val="clear" w:color="auto" w:fill="auto"/>
          </w:tcPr>
          <w:p w14:paraId="64D664E7"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"Comparable Rates"</w:t>
            </w:r>
          </w:p>
        </w:tc>
        <w:tc>
          <w:tcPr>
            <w:tcW w:w="5142" w:type="dxa"/>
            <w:shd w:val="clear" w:color="auto" w:fill="auto"/>
          </w:tcPr>
          <w:p w14:paraId="0FE9D99F"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CA0144" w14:paraId="02AA596C" w14:textId="77777777">
        <w:tc>
          <w:tcPr>
            <w:tcW w:w="2900" w:type="dxa"/>
            <w:shd w:val="clear" w:color="auto" w:fill="auto"/>
          </w:tcPr>
          <w:p w14:paraId="707447F7"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"Comparable Deliverables"</w:t>
            </w:r>
          </w:p>
        </w:tc>
        <w:tc>
          <w:tcPr>
            <w:tcW w:w="5142" w:type="dxa"/>
            <w:shd w:val="clear" w:color="auto" w:fill="auto"/>
          </w:tcPr>
          <w:p w14:paraId="37F9BBE7"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sz w:val="24"/>
                <w:szCs w:val="24"/>
              </w:rPr>
              <w:t>Supplier shall propose an approach for developing a comparable Deliverables benchmark;</w:t>
            </w:r>
          </w:p>
        </w:tc>
      </w:tr>
      <w:tr w:rsidR="00CA0144" w14:paraId="029F204E" w14:textId="77777777">
        <w:tc>
          <w:tcPr>
            <w:tcW w:w="2900" w:type="dxa"/>
            <w:shd w:val="clear" w:color="auto" w:fill="auto"/>
          </w:tcPr>
          <w:p w14:paraId="5C35492B"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"Comparison Group"</w:t>
            </w:r>
          </w:p>
        </w:tc>
        <w:tc>
          <w:tcPr>
            <w:tcW w:w="5142" w:type="dxa"/>
            <w:shd w:val="clear" w:color="auto" w:fill="auto"/>
          </w:tcPr>
          <w:p w14:paraId="0344D4AA"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sz w:val="24"/>
                <w:szCs w:val="24"/>
              </w:rPr>
              <w:t>arators with the Supplier or which, are best practice organisations;</w:t>
            </w:r>
          </w:p>
        </w:tc>
      </w:tr>
      <w:tr w:rsidR="00CA0144" w14:paraId="40478E3D" w14:textId="77777777">
        <w:tc>
          <w:tcPr>
            <w:tcW w:w="2900" w:type="dxa"/>
            <w:shd w:val="clear" w:color="auto" w:fill="auto"/>
          </w:tcPr>
          <w:p w14:paraId="2DA6F9B3"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"Equivalent Data"</w:t>
            </w:r>
          </w:p>
        </w:tc>
        <w:tc>
          <w:tcPr>
            <w:tcW w:w="5142" w:type="dxa"/>
            <w:shd w:val="clear" w:color="auto" w:fill="auto"/>
          </w:tcPr>
          <w:p w14:paraId="79C61CB0"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CA0144" w14:paraId="795A47DE" w14:textId="77777777">
        <w:tc>
          <w:tcPr>
            <w:tcW w:w="2900" w:type="dxa"/>
            <w:shd w:val="clear" w:color="auto" w:fill="auto"/>
          </w:tcPr>
          <w:p w14:paraId="14288F35"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"Good Value"</w:t>
            </w:r>
          </w:p>
        </w:tc>
        <w:tc>
          <w:tcPr>
            <w:tcW w:w="5142" w:type="dxa"/>
            <w:shd w:val="clear" w:color="auto" w:fill="auto"/>
          </w:tcPr>
          <w:p w14:paraId="730A9DF2"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CA0144" w14:paraId="405588C1" w14:textId="77777777">
        <w:tc>
          <w:tcPr>
            <w:tcW w:w="2900" w:type="dxa"/>
            <w:shd w:val="clear" w:color="auto" w:fill="auto"/>
          </w:tcPr>
          <w:p w14:paraId="178412B3" w14:textId="77777777" w:rsidR="00CA0144" w:rsidRDefault="00461E21">
            <w:pPr>
              <w:pBdr>
                <w:top w:val="nil"/>
                <w:left w:val="nil"/>
                <w:bottom w:val="nil"/>
                <w:right w:val="nil"/>
                <w:between w:val="nil"/>
              </w:pBdr>
              <w:spacing w:after="120"/>
              <w:ind w:left="-108" w:firstLine="108"/>
              <w:jc w:val="left"/>
              <w:rPr>
                <w:rFonts w:ascii="Arial" w:eastAsia="Arial" w:hAnsi="Arial"/>
                <w:b/>
                <w:sz w:val="24"/>
                <w:szCs w:val="24"/>
              </w:rPr>
            </w:pPr>
            <w:r>
              <w:rPr>
                <w:rFonts w:ascii="Arial" w:eastAsia="Arial" w:hAnsi="Arial"/>
                <w:b/>
                <w:sz w:val="24"/>
                <w:szCs w:val="24"/>
              </w:rPr>
              <w:t>"Upper Quartile"</w:t>
            </w:r>
          </w:p>
        </w:tc>
        <w:tc>
          <w:tcPr>
            <w:tcW w:w="5142" w:type="dxa"/>
            <w:shd w:val="clear" w:color="auto" w:fill="auto"/>
          </w:tcPr>
          <w:p w14:paraId="40CE2B07" w14:textId="77777777" w:rsidR="00CA0144" w:rsidRDefault="00461E21">
            <w:pPr>
              <w:numPr>
                <w:ilvl w:val="0"/>
                <w:numId w:val="1"/>
              </w:num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w:t>
            </w:r>
            <w:r>
              <w:rPr>
                <w:rFonts w:ascii="Arial" w:eastAsia="Arial" w:hAnsi="Arial"/>
                <w:sz w:val="24"/>
                <w:szCs w:val="24"/>
              </w:rPr>
              <w:t>eliverables.</w:t>
            </w:r>
          </w:p>
        </w:tc>
      </w:tr>
    </w:tbl>
    <w:p w14:paraId="2C6C2C75" w14:textId="77777777" w:rsidR="00CA0144" w:rsidRDefault="00461E2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lastRenderedPageBreak/>
        <w:t>When you should use this Schedule</w:t>
      </w:r>
    </w:p>
    <w:p w14:paraId="4CF23DE6" w14:textId="77777777" w:rsidR="00CA0144" w:rsidRDefault="00461E2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043D7FA5" w14:textId="77777777" w:rsidR="00CA0144" w:rsidRDefault="00461E2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Schedule sets to ensure the Contracts represent value for money throughout and that the Buyer </w:t>
      </w:r>
      <w:r>
        <w:rPr>
          <w:rFonts w:ascii="Arial" w:eastAsia="Arial" w:hAnsi="Arial"/>
          <w:color w:val="000000"/>
          <w:sz w:val="24"/>
          <w:szCs w:val="24"/>
        </w:rPr>
        <w:t>may terminate the Contract by issuing a Termination Notice to the Supplier if the Supplier refuses or fails to comply with its obligations as set out in Paragraphs 3 of this Schedule.</w:t>
      </w:r>
    </w:p>
    <w:p w14:paraId="46567D4F" w14:textId="77777777" w:rsidR="00CA0144" w:rsidRDefault="00461E2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within the definition</w:t>
      </w:r>
      <w:r>
        <w:rPr>
          <w:rFonts w:ascii="Arial" w:eastAsia="Arial" w:hAnsi="Arial"/>
          <w:color w:val="000000"/>
          <w:sz w:val="24"/>
          <w:szCs w:val="24"/>
        </w:rPr>
        <w:t xml:space="preserve"> of a Cost.</w:t>
      </w:r>
    </w:p>
    <w:p w14:paraId="7F122B84" w14:textId="77777777" w:rsidR="00CA0144" w:rsidRDefault="00461E21">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Benchmarking</w:t>
      </w:r>
    </w:p>
    <w:p w14:paraId="771C75C3" w14:textId="77777777" w:rsidR="00CA0144" w:rsidRDefault="00461E2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19DEC223"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DPS Schedule 4 (DPS Management), the Buyer may give CCS the right to enforce the Buyer's rights under this Schedule.</w:t>
      </w:r>
    </w:p>
    <w:p w14:paraId="11CA7BC7"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may, by written notice to the Supplier, require a Benchmark Review </w:t>
      </w:r>
      <w:r>
        <w:rPr>
          <w:rFonts w:ascii="Arial" w:eastAsia="Arial" w:hAnsi="Arial"/>
          <w:color w:val="000000"/>
          <w:sz w:val="24"/>
          <w:szCs w:val="24"/>
        </w:rPr>
        <w:t>of any or all of the Deliverables.</w:t>
      </w:r>
    </w:p>
    <w:p w14:paraId="1FFB4A93"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Start Date or at intervals of less than twelve (12) Months after any previous Benchmark Review. </w:t>
      </w:r>
    </w:p>
    <w:p w14:paraId="0668B59C"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w:t>
      </w:r>
      <w:r>
        <w:rPr>
          <w:rFonts w:ascii="Arial" w:eastAsia="Arial" w:hAnsi="Arial"/>
          <w:color w:val="000000"/>
          <w:sz w:val="24"/>
          <w:szCs w:val="24"/>
        </w:rPr>
        <w:t>rpose of a Benchmark Review will be to establish whether the Benchmarked Deliverables are, individually and/or as a whole, Good Value.</w:t>
      </w:r>
    </w:p>
    <w:p w14:paraId="7A0BCABB"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316D5674"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Upon its request</w:t>
      </w:r>
      <w:r>
        <w:rPr>
          <w:rFonts w:ascii="Arial" w:eastAsia="Arial" w:hAnsi="Arial"/>
          <w:color w:val="000000"/>
          <w:sz w:val="24"/>
          <w:szCs w:val="24"/>
        </w:rPr>
        <w:t xml:space="preserve">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reasonable explanation for rejecting the appointment.   If the appointment is rejected the</w:t>
      </w:r>
      <w:r>
        <w:rPr>
          <w:rFonts w:ascii="Arial" w:eastAsia="Arial" w:hAnsi="Arial"/>
          <w:color w:val="000000"/>
          <w:sz w:val="24"/>
          <w:szCs w:val="24"/>
        </w:rPr>
        <w:t xml:space="preserv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4A9A76FB"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w:t>
      </w:r>
      <w:r>
        <w:rPr>
          <w:rFonts w:ascii="Arial" w:eastAsia="Arial" w:hAnsi="Arial"/>
          <w:color w:val="000000"/>
          <w:sz w:val="24"/>
          <w:szCs w:val="24"/>
        </w:rPr>
        <w:t xml:space="preserve">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w:t>
      </w:r>
      <w:r>
        <w:rPr>
          <w:rFonts w:ascii="Arial" w:eastAsia="Arial" w:hAnsi="Arial"/>
          <w:color w:val="000000"/>
          <w:sz w:val="24"/>
          <w:szCs w:val="24"/>
        </w:rPr>
        <w:t>the Buyer.</w:t>
      </w:r>
    </w:p>
    <w:p w14:paraId="22D36908" w14:textId="77777777" w:rsidR="00CA0144" w:rsidRDefault="00461E21">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23711653" w14:textId="77777777" w:rsidR="00CA0144" w:rsidRDefault="00461E21">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44722D64"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6B443ADB"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w:t>
      </w:r>
      <w:r>
        <w:rPr>
          <w:rFonts w:ascii="Arial" w:eastAsia="Arial" w:hAnsi="Arial"/>
          <w:color w:val="000000"/>
          <w:sz w:val="24"/>
          <w:szCs w:val="24"/>
        </w:rPr>
        <w:t>rate that the methodology to be used is capable of fulfilling the benchmarking purpose; and</w:t>
      </w:r>
    </w:p>
    <w:p w14:paraId="3392C21F"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202DDBBB"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acting reasonably, shall be entitled to use any model to determ</w:t>
      </w:r>
      <w:r>
        <w:rPr>
          <w:rFonts w:ascii="Arial" w:eastAsia="Arial" w:hAnsi="Arial"/>
          <w:color w:val="000000"/>
          <w:sz w:val="24"/>
          <w:szCs w:val="24"/>
        </w:rPr>
        <w:t xml:space="preserve">ine the achievement of value for money and to carry out the benchmarking. </w:t>
      </w:r>
    </w:p>
    <w:p w14:paraId="1A535ED1"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w:t>
      </w:r>
      <w:r>
        <w:rPr>
          <w:rFonts w:ascii="Arial" w:eastAsia="Arial" w:hAnsi="Arial"/>
          <w:color w:val="000000"/>
          <w:sz w:val="24"/>
          <w:szCs w:val="24"/>
        </w:rPr>
        <w:t xml:space="preserve">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w:t>
      </w:r>
      <w:r>
        <w:rPr>
          <w:rFonts w:ascii="Arial" w:eastAsia="Arial" w:hAnsi="Arial"/>
          <w:color w:val="000000"/>
          <w:sz w:val="24"/>
          <w:szCs w:val="24"/>
        </w:rPr>
        <w:t>aft plan.</w:t>
      </w:r>
    </w:p>
    <w:p w14:paraId="0B692F27"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5D42999F" w14:textId="77777777" w:rsidR="00CA0144" w:rsidRDefault="00461E21">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5F0C5A47"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77F036BF" w14:textId="77777777" w:rsidR="00CA0144" w:rsidRDefault="00461E21">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55713F3D" w14:textId="77777777" w:rsidR="00CA0144" w:rsidRDefault="00461E21">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r>
        <w:rPr>
          <w:rFonts w:ascii="Arial" w:eastAsia="Arial" w:hAnsi="Arial"/>
          <w:color w:val="000000"/>
          <w:sz w:val="24"/>
          <w:szCs w:val="24"/>
        </w:rPr>
        <w:t>’s</w:t>
      </w:r>
      <w:proofErr w:type="spellEnd"/>
      <w:r>
        <w:rPr>
          <w:rFonts w:ascii="Arial" w:eastAsia="Arial" w:hAnsi="Arial"/>
          <w:color w:val="000000"/>
          <w:sz w:val="24"/>
          <w:szCs w:val="24"/>
        </w:rPr>
        <w:t xml:space="preserve"> own data and experience;</w:t>
      </w:r>
    </w:p>
    <w:p w14:paraId="7493D8C1" w14:textId="77777777" w:rsidR="00CA0144" w:rsidRDefault="00461E21">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66EF5CE5" w14:textId="77777777" w:rsidR="00CA0144" w:rsidRDefault="00461E21">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pursuant to Paragraph 3.2.7 below, information from other suppliers or purchasers on Comparable Rates;</w:t>
      </w:r>
    </w:p>
    <w:p w14:paraId="07CBB5E8"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by applying the adjustment factors listed in Paragraph 3.2.7 and from an analysis of the </w:t>
      </w:r>
      <w:r>
        <w:rPr>
          <w:rFonts w:ascii="Arial" w:eastAsia="Arial" w:hAnsi="Arial"/>
          <w:color w:val="000000"/>
          <w:sz w:val="24"/>
          <w:szCs w:val="24"/>
        </w:rPr>
        <w:t>Comparable Rates, derive the Equivalent Data;</w:t>
      </w:r>
    </w:p>
    <w:p w14:paraId="2D0E2A4C"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14:paraId="1379751D"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14:paraId="358E824C"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14:paraId="37297042" w14:textId="77777777" w:rsidR="00CA0144" w:rsidRDefault="00461E21">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14:paraId="4BC454DD"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45F887AA"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6A795561"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14:paraId="4BCD5529" w14:textId="77777777" w:rsidR="00CA0144" w:rsidRDefault="00461E21">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1F48E774" w14:textId="77777777" w:rsidR="00CA0144" w:rsidRDefault="00461E2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4AE413A6" w14:textId="77777777" w:rsidR="00CA0144" w:rsidRDefault="00461E21">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14:paraId="2AD29E39"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6D0CBF28"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if any of the Benchmarked Deliverables are, individually or as a whole, not Good Value, specify the changes that would be r</w:t>
      </w:r>
      <w:r>
        <w:rPr>
          <w:rFonts w:ascii="Arial" w:eastAsia="Arial" w:hAnsi="Arial"/>
          <w:color w:val="000000"/>
          <w:sz w:val="24"/>
          <w:szCs w:val="24"/>
        </w:rPr>
        <w:t xml:space="preserve">equired to make that Benchmarked Service or the Benchmarked Deliverables as a whole Good Value; and </w:t>
      </w:r>
    </w:p>
    <w:p w14:paraId="1D0E4231" w14:textId="77777777" w:rsidR="00CA0144" w:rsidRDefault="00461E21">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transparency so that the Party requesting the Benchmarking can interpret and understand how the Supplier has calculated wheth</w:t>
      </w:r>
      <w:r>
        <w:rPr>
          <w:rFonts w:ascii="Arial" w:eastAsia="Arial" w:hAnsi="Arial"/>
          <w:color w:val="000000"/>
          <w:sz w:val="24"/>
          <w:szCs w:val="24"/>
        </w:rPr>
        <w:t>er or not the Benchmarked Deliverables are, individually or as a whole, Good Value.</w:t>
      </w:r>
    </w:p>
    <w:p w14:paraId="470E1191" w14:textId="77777777" w:rsidR="00CA0144" w:rsidRDefault="00461E21">
      <w:pPr>
        <w:pBdr>
          <w:top w:val="nil"/>
          <w:left w:val="nil"/>
          <w:bottom w:val="nil"/>
          <w:right w:val="nil"/>
          <w:between w:val="nil"/>
        </w:pBdr>
        <w:tabs>
          <w:tab w:val="left" w:pos="1985"/>
        </w:tabs>
        <w:spacing w:before="120" w:after="120"/>
        <w:ind w:left="1985" w:hanging="720"/>
        <w:jc w:val="left"/>
        <w:rPr>
          <w:rFonts w:ascii="Arial" w:eastAsia="Arial" w:hAnsi="Arial"/>
          <w:color w:val="000000"/>
          <w:sz w:val="24"/>
          <w:szCs w:val="24"/>
        </w:r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w:t>
      </w:r>
      <w:r>
        <w:rPr>
          <w:rFonts w:ascii="Arial" w:eastAsia="Arial" w:hAnsi="Arial"/>
          <w:color w:val="000000"/>
          <w:sz w:val="24"/>
          <w:szCs w:val="24"/>
        </w:rPr>
        <w:t>use 24 (Changing the contract).</w:t>
      </w:r>
    </w:p>
    <w:sectPr w:rsidR="00CA014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8B14" w14:textId="77777777" w:rsidR="00461E21" w:rsidRDefault="00461E21">
      <w:pPr>
        <w:spacing w:after="0"/>
      </w:pPr>
      <w:r>
        <w:separator/>
      </w:r>
    </w:p>
  </w:endnote>
  <w:endnote w:type="continuationSeparator" w:id="0">
    <w:p w14:paraId="5921F8B6" w14:textId="77777777" w:rsidR="00461E21" w:rsidRDefault="00461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E955" w14:textId="77777777" w:rsidR="00CA0144" w:rsidRDefault="00CA0144">
    <w:pPr>
      <w:tabs>
        <w:tab w:val="center" w:pos="4513"/>
        <w:tab w:val="right" w:pos="9026"/>
      </w:tabs>
      <w:spacing w:after="0"/>
      <w:rPr>
        <w:rFonts w:ascii="Arial" w:eastAsia="Arial" w:hAnsi="Arial"/>
        <w:sz w:val="20"/>
        <w:szCs w:val="20"/>
      </w:rPr>
    </w:pPr>
  </w:p>
  <w:p w14:paraId="16AE3115" w14:textId="77777777" w:rsidR="00CA0144" w:rsidRDefault="00461E21">
    <w:pPr>
      <w:tabs>
        <w:tab w:val="center" w:pos="4513"/>
        <w:tab w:val="right" w:pos="9026"/>
      </w:tabs>
      <w:spacing w:after="0"/>
      <w:rPr>
        <w:rFonts w:ascii="Arial" w:eastAsia="Arial" w:hAnsi="Arial"/>
        <w:sz w:val="20"/>
        <w:szCs w:val="20"/>
      </w:rPr>
    </w:pPr>
    <w:r>
      <w:rPr>
        <w:rFonts w:ascii="Arial" w:eastAsia="Arial" w:hAnsi="Arial"/>
        <w:sz w:val="20"/>
        <w:szCs w:val="20"/>
      </w:rPr>
      <w:t>DPS Ref: RM6296 Occupational Health and Related Services</w:t>
    </w:r>
  </w:p>
  <w:p w14:paraId="339DA5E2" w14:textId="77777777" w:rsidR="00CA0144" w:rsidRDefault="00461E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36C83">
      <w:rPr>
        <w:rFonts w:ascii="Arial" w:eastAsia="Arial" w:hAnsi="Arial"/>
        <w:noProof/>
        <w:color w:val="000000"/>
        <w:sz w:val="20"/>
        <w:szCs w:val="20"/>
      </w:rPr>
      <w:t>1</w:t>
    </w:r>
    <w:r>
      <w:rPr>
        <w:rFonts w:ascii="Arial" w:eastAsia="Arial" w:hAnsi="Arial"/>
        <w:color w:val="000000"/>
        <w:sz w:val="20"/>
        <w:szCs w:val="20"/>
      </w:rPr>
      <w:fldChar w:fldCharType="end"/>
    </w:r>
  </w:p>
  <w:p w14:paraId="41F18BDE" w14:textId="77777777" w:rsidR="00CA0144" w:rsidRDefault="00461E21">
    <w:pPr>
      <w:tabs>
        <w:tab w:val="center" w:pos="4513"/>
        <w:tab w:val="right" w:pos="9026"/>
      </w:tabs>
      <w:spacing w:after="0"/>
    </w:pPr>
    <w:r>
      <w:rPr>
        <w:rFonts w:ascii="Arial" w:eastAsia="Arial" w:hAnsi="Arial"/>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1C748" w14:textId="77777777" w:rsidR="00CA0144" w:rsidRDefault="00461E21">
    <w:pPr>
      <w:tabs>
        <w:tab w:val="center" w:pos="4513"/>
        <w:tab w:val="right" w:pos="9026"/>
      </w:tabs>
      <w:spacing w:after="0"/>
      <w:rPr>
        <w:rFonts w:ascii="Arial" w:eastAsia="Arial" w:hAnsi="Arial"/>
        <w:sz w:val="20"/>
        <w:szCs w:val="20"/>
      </w:rPr>
    </w:pPr>
    <w:r>
      <w:rPr>
        <w:rFonts w:ascii="Arial" w:eastAsia="Arial" w:hAnsi="Arial"/>
        <w:sz w:val="20"/>
        <w:szCs w:val="20"/>
      </w:rPr>
      <w:t>DPS Ref: RM</w:t>
    </w:r>
    <w:r>
      <w:rPr>
        <w:rFonts w:ascii="Arial" w:eastAsia="Arial" w:hAnsi="Arial"/>
        <w:sz w:val="20"/>
        <w:szCs w:val="20"/>
      </w:rPr>
      <w:tab/>
    </w:r>
    <w:r>
      <w:rPr>
        <w:rFonts w:ascii="Arial" w:eastAsia="Arial" w:hAnsi="Arial"/>
        <w:sz w:val="20"/>
        <w:szCs w:val="20"/>
      </w:rPr>
      <w:t xml:space="preserve">                                           </w:t>
    </w:r>
  </w:p>
  <w:p w14:paraId="2BF6F07F" w14:textId="77777777" w:rsidR="00CA0144" w:rsidRDefault="00461E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color w:val="000000"/>
        <w:sz w:val="20"/>
        <w:szCs w:val="20"/>
      </w:rPr>
      <w:fldChar w:fldCharType="end"/>
    </w:r>
  </w:p>
  <w:p w14:paraId="3B74FBB9" w14:textId="77777777" w:rsidR="00CA0144" w:rsidRDefault="00461E21">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19A98" w14:textId="77777777" w:rsidR="00461E21" w:rsidRDefault="00461E21">
      <w:pPr>
        <w:spacing w:after="0"/>
      </w:pPr>
      <w:r>
        <w:separator/>
      </w:r>
    </w:p>
  </w:footnote>
  <w:footnote w:type="continuationSeparator" w:id="0">
    <w:p w14:paraId="7213FBAF" w14:textId="77777777" w:rsidR="00461E21" w:rsidRDefault="00461E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1EF6" w14:textId="77777777" w:rsidR="00CA0144" w:rsidRDefault="00461E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Order Schedule 16 (Benchmarking)</w:t>
    </w:r>
  </w:p>
  <w:p w14:paraId="37BD8767" w14:textId="77777777" w:rsidR="00CA0144" w:rsidRDefault="00461E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Order Ref:</w:t>
    </w:r>
  </w:p>
  <w:p w14:paraId="7D00518E" w14:textId="77777777" w:rsidR="00CA0144" w:rsidRDefault="00461E2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w:t>
    </w:r>
    <w:r>
      <w:rPr>
        <w:rFonts w:ascii="Arial" w:eastAsia="Arial" w:hAnsi="Arial"/>
        <w:sz w:val="20"/>
        <w:szCs w:val="20"/>
      </w:rPr>
      <w:t>2023</w:t>
    </w:r>
  </w:p>
  <w:p w14:paraId="1045BE4F" w14:textId="77777777" w:rsidR="00CA0144" w:rsidRDefault="00CA014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2A185" w14:textId="77777777" w:rsidR="00CA0144" w:rsidRDefault="00461E21">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2B06D943" wp14:editId="40C9B535">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652E"/>
    <w:multiLevelType w:val="multilevel"/>
    <w:tmpl w:val="ABCADC0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A616D34"/>
    <w:multiLevelType w:val="multilevel"/>
    <w:tmpl w:val="5330E6E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144"/>
    <w:rsid w:val="00236C83"/>
    <w:rsid w:val="00461E21"/>
    <w:rsid w:val="00CA01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BFBC9"/>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amXaLgnFkGTNVMKZpAQUGmGg8Q==">CgMxLjAyCGguZ2pkZ3hzMgloLjMwajB6bGwyCWguMWZvYjl0ZTIJaC4zem55c2g3MgloLjJldDkycDAyCGgudHlqY3d0OAByITFhUnpkVllwN24tTHhRUzFacm1zQ0dSQi1kTklqUENHMQ==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6972</Characters>
  <Application>Microsoft Office Word</Application>
  <DocSecurity>0</DocSecurity>
  <Lines>58</Lines>
  <Paragraphs>16</Paragraphs>
  <ScaleCrop>false</ScaleCrop>
  <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2026-01-29T16:53:00Z</dcterms:created>
  <dcterms:modified xsi:type="dcterms:W3CDTF">2026-01-29T16:53:00Z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